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w:t>
                            </w:r>
                            <w:r w:rsidRPr="000A7038">
                              <w:rPr>
                                <w:b/>
                              </w:rPr>
                              <w:t>summary or statement of the main</w:t>
                            </w:r>
                            <w:r>
                              <w:t xml:space="preserve"> </w:t>
                            </w:r>
                            <w:r w:rsidRPr="000A7038">
                              <w:rPr>
                                <w:b/>
                              </w:rPr>
                              <w:t>idea</w:t>
                            </w:r>
                            <w:r>
                              <w:t xml:space="preserve">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w:t>
                      </w:r>
                      <w:r w:rsidRPr="000A7038">
                        <w:rPr>
                          <w:b/>
                        </w:rPr>
                        <w:t>summary or statement of the main</w:t>
                      </w:r>
                      <w:r>
                        <w:t xml:space="preserve"> </w:t>
                      </w:r>
                      <w:r w:rsidRPr="000A7038">
                        <w:rPr>
                          <w:b/>
                        </w:rPr>
                        <w:t>idea</w:t>
                      </w:r>
                      <w:r>
                        <w:t xml:space="preserve">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were found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bookmarkStart w:id="1" w:name="_GoBack"/>
                      <w:bookmarkEnd w:id="1"/>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t>
                      </w:r>
                      <w:proofErr w:type="gramStart"/>
                      <w:r>
                        <w:rPr>
                          <w:i/>
                        </w:rPr>
                        <w:t>were found</w:t>
                      </w:r>
                      <w:proofErr w:type="gramEnd"/>
                      <w:r>
                        <w:rPr>
                          <w:i/>
                        </w:rPr>
                        <w:t xml:space="preserve">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0A7038">
      <w:pPr>
        <w:rPr>
          <w:b/>
          <w:u w:val="single"/>
        </w:rPr>
      </w:pPr>
      <w:hyperlink r:id="rId8"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9"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 xml:space="preserve">Based on </w:t>
                            </w:r>
                            <w:r w:rsidR="00F14D69" w:rsidRPr="000A7038">
                              <w:rPr>
                                <w:b/>
                                <w:i/>
                              </w:rPr>
                              <w:t>inference</w:t>
                            </w:r>
                            <w:r w:rsidR="00F14D69">
                              <w:rPr>
                                <w:i/>
                              </w:rPr>
                              <w:t>, w</w:t>
                            </w:r>
                            <w:r w:rsidR="00C12F47">
                              <w:rPr>
                                <w:i/>
                              </w:rPr>
                              <w:t xml:space="preserve">hat is a likely reason so many passengers perished when the Titanic hit the iceberg? What do you believe could have been done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bookmarkStart w:id="0" w:name="_GoBack"/>
                            <w:bookmarkEnd w:id="0"/>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 xml:space="preserve">Based on </w:t>
                      </w:r>
                      <w:r w:rsidR="00F14D69" w:rsidRPr="000A7038">
                        <w:rPr>
                          <w:b/>
                          <w:i/>
                        </w:rPr>
                        <w:t>inference</w:t>
                      </w:r>
                      <w:r w:rsidR="00F14D69">
                        <w:rPr>
                          <w:i/>
                        </w:rPr>
                        <w:t>, w</w:t>
                      </w:r>
                      <w:r w:rsidR="00C12F47">
                        <w:rPr>
                          <w:i/>
                        </w:rPr>
                        <w:t xml:space="preserve">hat is a likely reason so many passengers perished when the Titanic hit the iceberg? What do you believe could have been done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bookmarkStart w:id="1" w:name="_GoBack"/>
                      <w:bookmarkEnd w:id="1"/>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C12F47">
                              <w:rPr>
                                <w:i/>
                              </w:rPr>
                              <w:t>How old would the Clark’s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C12F47">
                        <w:rPr>
                          <w:i/>
                        </w:rPr>
                        <w:t xml:space="preserve">How old would the </w:t>
                      </w:r>
                      <w:proofErr w:type="gramStart"/>
                      <w:r w:rsidR="00C12F47">
                        <w:rPr>
                          <w:i/>
                        </w:rPr>
                        <w:t>Clark’s</w:t>
                      </w:r>
                      <w:proofErr w:type="gramEnd"/>
                      <w:r w:rsidR="00C12F47">
                        <w:rPr>
                          <w:i/>
                        </w:rPr>
                        <w:t xml:space="preserve">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C1" w:rsidRDefault="003576C1" w:rsidP="00B56F5B">
      <w:r>
        <w:separator/>
      </w:r>
    </w:p>
  </w:endnote>
  <w:endnote w:type="continuationSeparator" w:id="0">
    <w:p w:rsidR="003576C1" w:rsidRDefault="003576C1"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F14D69">
      <w:rPr>
        <w:sz w:val="16"/>
        <w:szCs w:val="16"/>
        <w:lang w:val="en-US"/>
      </w:rPr>
      <w:t>Bowerman, M. Titanic survivor’s locket found on ocean floor. USA Today. 11 Apr. 2017. Retrieved 18</w:t>
    </w:r>
    <w:r w:rsidR="00F36E6E">
      <w:rPr>
        <w:sz w:val="16"/>
        <w:szCs w:val="16"/>
        <w:lang w:val="en-US"/>
      </w:rPr>
      <w:t xml:space="preserve"> Ap</w:t>
    </w:r>
    <w:r w:rsidR="002F04C4">
      <w:rPr>
        <w:sz w:val="16"/>
        <w:szCs w:val="16"/>
        <w:lang w:val="en-US"/>
      </w:rPr>
      <w:t>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C1" w:rsidRDefault="003576C1" w:rsidP="00B56F5B">
      <w:r>
        <w:separator/>
      </w:r>
    </w:p>
  </w:footnote>
  <w:footnote w:type="continuationSeparator" w:id="0">
    <w:p w:rsidR="003576C1" w:rsidRDefault="003576C1"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038"/>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eople/rachel-felt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6C41-8627-4E3F-BCF8-38F4F501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Pamela Hancock</cp:lastModifiedBy>
  <cp:revision>2</cp:revision>
  <cp:lastPrinted>2017-09-25T11:34:00Z</cp:lastPrinted>
  <dcterms:created xsi:type="dcterms:W3CDTF">2017-09-25T13:47:00Z</dcterms:created>
  <dcterms:modified xsi:type="dcterms:W3CDTF">2017-09-25T13:47:00Z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